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宋体" w:hAnsi="宋体" w:eastAsia="仿宋" w:cs="宋体"/>
          <w:b/>
          <w:kern w:val="0"/>
        </w:rPr>
      </w:pPr>
    </w:p>
    <w:p>
      <w:pPr>
        <w:widowControl/>
        <w:spacing w:line="600" w:lineRule="exact"/>
        <w:jc w:val="center"/>
        <w:rPr>
          <w:rFonts w:ascii="宋体" w:hAnsi="宋体" w:eastAsia="仿宋" w:cs="宋体"/>
          <w:b/>
          <w:kern w:val="0"/>
        </w:rPr>
      </w:pPr>
    </w:p>
    <w:p>
      <w:pPr>
        <w:widowControl/>
        <w:spacing w:line="600" w:lineRule="exact"/>
        <w:jc w:val="center"/>
        <w:rPr>
          <w:rFonts w:ascii="宋体" w:hAnsi="宋体" w:eastAsia="仿宋" w:cs="宋体"/>
          <w:b/>
          <w:kern w:val="0"/>
        </w:rPr>
      </w:pPr>
    </w:p>
    <w:p>
      <w:pPr>
        <w:widowControl/>
        <w:spacing w:line="600" w:lineRule="exact"/>
        <w:jc w:val="center"/>
        <w:rPr>
          <w:rFonts w:ascii="宋体" w:hAnsi="宋体" w:eastAsia="仿宋" w:cs="宋体"/>
          <w:b/>
          <w:kern w:val="0"/>
        </w:rPr>
      </w:pPr>
    </w:p>
    <w:p>
      <w:pPr>
        <w:widowControl/>
        <w:spacing w:line="600" w:lineRule="exact"/>
        <w:jc w:val="center"/>
        <w:rPr>
          <w:rFonts w:ascii="宋体" w:hAnsi="宋体" w:eastAsia="仿宋" w:cs="宋体"/>
          <w:b/>
          <w:kern w:val="0"/>
        </w:rPr>
      </w:pPr>
    </w:p>
    <w:p>
      <w:pPr>
        <w:widowControl/>
        <w:spacing w:line="600" w:lineRule="exact"/>
        <w:jc w:val="center"/>
        <w:rPr>
          <w:rFonts w:ascii="宋体" w:hAnsi="宋体" w:eastAsia="仿宋" w:cs="宋体"/>
          <w:b/>
          <w:kern w:val="0"/>
        </w:rPr>
      </w:pPr>
    </w:p>
    <w:p>
      <w:pPr>
        <w:jc w:val="center"/>
        <w:rPr>
          <w:rFonts w:ascii="宋体" w:hAnsi="宋体" w:eastAsia="仿宋" w:cs="宋体"/>
          <w:b/>
          <w:kern w:val="0"/>
          <w:sz w:val="44"/>
          <w:szCs w:val="44"/>
        </w:rPr>
      </w:pPr>
      <w:r>
        <w:rPr>
          <w:rFonts w:hint="eastAsia" w:eastAsia="仿宋"/>
        </w:rPr>
        <w:t>辽科发〔</w:t>
      </w:r>
      <w:r>
        <w:rPr>
          <w:rFonts w:hint="eastAsia" w:ascii="Times New Roman" w:hAnsi="Times New Roman" w:eastAsia="仿宋"/>
        </w:rPr>
        <w:t>2022</w:t>
      </w:r>
      <w:r>
        <w:rPr>
          <w:rFonts w:hint="eastAsia" w:eastAsia="仿宋"/>
        </w:rPr>
        <w:t>〕</w:t>
      </w:r>
      <w:r>
        <w:rPr>
          <w:rFonts w:hint="eastAsia" w:ascii="Times New Roman" w:hAnsi="Times New Roman" w:eastAsia="仿宋"/>
          <w:lang w:val="en-US" w:eastAsia="zh-CN"/>
        </w:rPr>
        <w:t>15</w:t>
      </w:r>
      <w:r>
        <w:rPr>
          <w:rFonts w:hint="eastAsia" w:eastAsia="仿宋"/>
        </w:rPr>
        <w:t>号</w:t>
      </w:r>
    </w:p>
    <w:p>
      <w:pPr>
        <w:widowControl/>
        <w:spacing w:line="400" w:lineRule="exact"/>
        <w:jc w:val="center"/>
        <w:rPr>
          <w:rFonts w:ascii="宋体" w:hAnsi="宋体" w:eastAsia="仿宋" w:cs="宋体"/>
          <w:b/>
          <w:kern w:val="0"/>
          <w:sz w:val="24"/>
          <w:szCs w:val="24"/>
        </w:rPr>
      </w:pPr>
    </w:p>
    <w:p>
      <w:pPr>
        <w:widowControl/>
        <w:spacing w:line="400" w:lineRule="exact"/>
        <w:jc w:val="center"/>
        <w:rPr>
          <w:rFonts w:ascii="宋体" w:hAnsi="宋体" w:eastAsia="仿宋" w:cs="宋体"/>
          <w:b/>
          <w:kern w:val="0"/>
          <w:sz w:val="24"/>
          <w:szCs w:val="24"/>
        </w:rPr>
      </w:pPr>
    </w:p>
    <w:p>
      <w:pPr>
        <w:adjustRightInd w:val="0"/>
        <w:snapToGrid w:val="0"/>
        <w:spacing w:line="640" w:lineRule="exact"/>
        <w:jc w:val="center"/>
        <w:rPr>
          <w:rFonts w:hint="eastAsia" w:eastAsia="方正小标宋简体" w:cs="Times New Roman"/>
          <w:bCs/>
          <w:sz w:val="44"/>
          <w:szCs w:val="44"/>
        </w:rPr>
      </w:pPr>
      <w:r>
        <w:rPr>
          <w:rFonts w:hint="eastAsia" w:eastAsia="方正小标宋简体" w:cs="Times New Roman"/>
          <w:bCs/>
          <w:sz w:val="44"/>
          <w:szCs w:val="44"/>
        </w:rPr>
        <w:t>关于印发《辽宁省科技成果转化中试基地</w:t>
      </w:r>
    </w:p>
    <w:p>
      <w:pPr>
        <w:adjustRightInd w:val="0"/>
        <w:snapToGrid w:val="0"/>
        <w:spacing w:line="640" w:lineRule="exact"/>
        <w:jc w:val="center"/>
        <w:rPr>
          <w:rFonts w:asciiTheme="minorEastAsia" w:hAnsiTheme="minorEastAsia" w:eastAsiaTheme="minorEastAsia"/>
          <w:b/>
          <w:sz w:val="44"/>
          <w:szCs w:val="44"/>
        </w:rPr>
      </w:pPr>
      <w:r>
        <w:rPr>
          <w:rFonts w:hint="eastAsia" w:eastAsia="方正小标宋简体" w:cs="Times New Roman"/>
          <w:bCs/>
          <w:sz w:val="44"/>
          <w:szCs w:val="44"/>
        </w:rPr>
        <w:t>项目管理办法（试行）》的通知</w:t>
      </w:r>
    </w:p>
    <w:p>
      <w:pPr>
        <w:keepNext w:val="0"/>
        <w:keepLines w:val="0"/>
        <w:pageBreakBefore w:val="0"/>
        <w:widowControl w:val="0"/>
        <w:kinsoku/>
        <w:wordWrap/>
        <w:overflowPunct/>
        <w:topLinePunct w:val="0"/>
        <w:autoSpaceDE/>
        <w:autoSpaceDN/>
        <w:bidi w:val="0"/>
        <w:snapToGrid/>
        <w:spacing w:line="600" w:lineRule="exact"/>
        <w:jc w:val="center"/>
        <w:textAlignment w:val="auto"/>
        <w:rPr>
          <w:rFonts w:ascii="宋体" w:hAnsi="宋体" w:eastAsia="宋体"/>
          <w:b/>
          <w:sz w:val="44"/>
          <w:szCs w:val="44"/>
        </w:rPr>
      </w:pPr>
    </w:p>
    <w:p>
      <w:pPr>
        <w:keepNext w:val="0"/>
        <w:keepLines w:val="0"/>
        <w:pageBreakBefore w:val="0"/>
        <w:widowControl w:val="0"/>
        <w:kinsoku/>
        <w:overflowPunct/>
        <w:topLinePunct w:val="0"/>
        <w:autoSpaceDE/>
        <w:autoSpaceDN/>
        <w:bidi w:val="0"/>
        <w:snapToGrid/>
        <w:spacing w:line="600" w:lineRule="exact"/>
        <w:jc w:val="left"/>
        <w:textAlignment w:val="auto"/>
        <w:rPr>
          <w:rFonts w:ascii="仿宋" w:hAnsi="仿宋" w:eastAsia="仿宋"/>
          <w:bCs/>
          <w:sz w:val="32"/>
          <w:szCs w:val="32"/>
        </w:rPr>
      </w:pPr>
      <w:r>
        <w:rPr>
          <w:rFonts w:hint="eastAsia" w:ascii="仿宋" w:hAnsi="仿宋" w:eastAsia="仿宋"/>
          <w:bCs/>
          <w:sz w:val="32"/>
          <w:szCs w:val="32"/>
        </w:rPr>
        <w:t>各市及沈抚示范区科技局、</w:t>
      </w:r>
      <w:r>
        <w:rPr>
          <w:rFonts w:hint="eastAsia" w:ascii="仿宋" w:hAnsi="仿宋" w:eastAsia="仿宋"/>
          <w:bCs/>
          <w:sz w:val="32"/>
          <w:szCs w:val="32"/>
          <w:lang w:val="en-US" w:eastAsia="zh-CN"/>
        </w:rPr>
        <w:t>财政</w:t>
      </w:r>
      <w:r>
        <w:rPr>
          <w:rFonts w:hint="eastAsia" w:ascii="仿宋" w:hAnsi="仿宋" w:eastAsia="仿宋"/>
          <w:bCs/>
          <w:sz w:val="32"/>
          <w:szCs w:val="32"/>
        </w:rPr>
        <w:t>局，各有关单位：</w:t>
      </w:r>
    </w:p>
    <w:p>
      <w:pPr>
        <w:keepNext w:val="0"/>
        <w:keepLines w:val="0"/>
        <w:pageBreakBefore w:val="0"/>
        <w:widowControl w:val="0"/>
        <w:kinsoku/>
        <w:overflowPunct/>
        <w:topLinePunct w:val="0"/>
        <w:autoSpaceDE/>
        <w:autoSpaceDN/>
        <w:bidi w:val="0"/>
        <w:snapToGrid/>
        <w:spacing w:line="600" w:lineRule="exact"/>
        <w:ind w:firstLine="645"/>
        <w:jc w:val="left"/>
        <w:textAlignment w:val="auto"/>
        <w:rPr>
          <w:rFonts w:ascii="仿宋" w:hAnsi="仿宋" w:eastAsia="仿宋"/>
          <w:bCs/>
          <w:sz w:val="32"/>
          <w:szCs w:val="32"/>
        </w:rPr>
      </w:pPr>
      <w:r>
        <w:rPr>
          <w:rFonts w:hint="eastAsia" w:ascii="仿宋" w:hAnsi="仿宋" w:eastAsia="仿宋"/>
          <w:bCs/>
          <w:sz w:val="32"/>
          <w:szCs w:val="32"/>
        </w:rPr>
        <w:t>为加快推进全省科技成果转化中试基地建设，规范科技成果转化中试基地项目组织实施，加快推进先进适用科技成果在省内转移转化和产业化，特制定《辽宁省科技成果转化中试基地项目管理办法（试行）》。现将该办法印发给你们，请认真遵照执行。</w:t>
      </w:r>
    </w:p>
    <w:p>
      <w:pPr>
        <w:keepNext w:val="0"/>
        <w:keepLines w:val="0"/>
        <w:pageBreakBefore w:val="0"/>
        <w:widowControl w:val="0"/>
        <w:kinsoku/>
        <w:overflowPunct/>
        <w:topLinePunct w:val="0"/>
        <w:autoSpaceDE/>
        <w:autoSpaceDN/>
        <w:bidi w:val="0"/>
        <w:snapToGrid/>
        <w:spacing w:line="600" w:lineRule="exact"/>
        <w:ind w:firstLine="645"/>
        <w:jc w:val="left"/>
        <w:textAlignment w:val="auto"/>
        <w:rPr>
          <w:rFonts w:hint="eastAsia" w:ascii="仿宋" w:hAnsi="仿宋" w:eastAsia="仿宋"/>
          <w:bCs/>
          <w:sz w:val="32"/>
          <w:szCs w:val="32"/>
          <w:lang w:val="en-US" w:eastAsia="zh-CN"/>
        </w:rPr>
      </w:pPr>
    </w:p>
    <w:p>
      <w:pPr>
        <w:keepNext w:val="0"/>
        <w:keepLines w:val="0"/>
        <w:pageBreakBefore w:val="0"/>
        <w:widowControl w:val="0"/>
        <w:kinsoku/>
        <w:overflowPunct/>
        <w:topLinePunct w:val="0"/>
        <w:autoSpaceDE/>
        <w:autoSpaceDN/>
        <w:bidi w:val="0"/>
        <w:snapToGrid/>
        <w:spacing w:line="600" w:lineRule="exact"/>
        <w:jc w:val="left"/>
        <w:textAlignment w:val="auto"/>
        <w:rPr>
          <w:rFonts w:hint="eastAsia" w:ascii="仿宋" w:hAnsi="仿宋" w:eastAsia="仿宋"/>
          <w:bCs/>
          <w:sz w:val="32"/>
          <w:szCs w:val="32"/>
          <w:lang w:val="en-US" w:eastAsia="zh-CN"/>
        </w:rPr>
      </w:pPr>
    </w:p>
    <w:p>
      <w:pPr>
        <w:keepNext w:val="0"/>
        <w:keepLines w:val="0"/>
        <w:pageBreakBefore w:val="0"/>
        <w:widowControl w:val="0"/>
        <w:kinsoku/>
        <w:wordWrap w:val="0"/>
        <w:overflowPunct/>
        <w:topLinePunct w:val="0"/>
        <w:autoSpaceDE/>
        <w:autoSpaceDN/>
        <w:bidi w:val="0"/>
        <w:snapToGrid/>
        <w:spacing w:line="600" w:lineRule="exact"/>
        <w:ind w:firstLine="645"/>
        <w:jc w:val="right"/>
        <w:textAlignment w:val="auto"/>
        <w:rPr>
          <w:rFonts w:hint="eastAsia" w:ascii="仿宋" w:hAnsi="仿宋" w:eastAsia="仿宋"/>
          <w:bCs/>
          <w:sz w:val="32"/>
          <w:szCs w:val="32"/>
          <w:lang w:val="en-US" w:eastAsia="zh-CN"/>
        </w:rPr>
      </w:pPr>
      <w:r>
        <w:rPr>
          <w:rFonts w:hint="eastAsia" w:ascii="仿宋" w:hAnsi="仿宋" w:eastAsia="仿宋"/>
          <w:bCs/>
          <w:sz w:val="32"/>
          <w:szCs w:val="32"/>
        </w:rPr>
        <w:t>辽宁省</w:t>
      </w:r>
      <w:r>
        <w:rPr>
          <w:rFonts w:hint="eastAsia" w:ascii="仿宋" w:hAnsi="仿宋" w:eastAsia="仿宋"/>
          <w:bCs/>
          <w:sz w:val="32"/>
          <w:szCs w:val="32"/>
          <w:lang w:val="en-US" w:eastAsia="zh-CN"/>
        </w:rPr>
        <w:t>科学技术</w:t>
      </w:r>
      <w:r>
        <w:rPr>
          <w:rFonts w:hint="eastAsia" w:ascii="仿宋" w:hAnsi="仿宋" w:eastAsia="仿宋"/>
          <w:bCs/>
          <w:sz w:val="32"/>
          <w:szCs w:val="32"/>
        </w:rPr>
        <w:t xml:space="preserve">厅  </w:t>
      </w:r>
      <w:r>
        <w:rPr>
          <w:rFonts w:hint="eastAsia" w:ascii="仿宋" w:hAnsi="仿宋" w:eastAsia="仿宋"/>
          <w:bCs/>
          <w:sz w:val="32"/>
          <w:szCs w:val="32"/>
          <w:lang w:val="en-US" w:eastAsia="zh-CN"/>
        </w:rPr>
        <w:t xml:space="preserve">        </w:t>
      </w:r>
      <w:r>
        <w:rPr>
          <w:rFonts w:hint="eastAsia" w:ascii="仿宋" w:hAnsi="仿宋" w:eastAsia="仿宋"/>
          <w:bCs/>
          <w:sz w:val="32"/>
          <w:szCs w:val="32"/>
        </w:rPr>
        <w:t>辽宁省</w:t>
      </w:r>
      <w:r>
        <w:rPr>
          <w:rFonts w:hint="eastAsia" w:ascii="仿宋" w:hAnsi="仿宋" w:eastAsia="仿宋"/>
          <w:bCs/>
          <w:sz w:val="32"/>
          <w:szCs w:val="32"/>
          <w:lang w:val="en-US" w:eastAsia="zh-CN"/>
        </w:rPr>
        <w:t>财政</w:t>
      </w:r>
      <w:r>
        <w:rPr>
          <w:rFonts w:hint="eastAsia" w:ascii="仿宋" w:hAnsi="仿宋" w:eastAsia="仿宋"/>
          <w:bCs/>
          <w:sz w:val="32"/>
          <w:szCs w:val="32"/>
        </w:rPr>
        <w:t>厅</w:t>
      </w:r>
      <w:r>
        <w:rPr>
          <w:rFonts w:hint="eastAsia" w:ascii="仿宋" w:hAnsi="仿宋" w:eastAsia="仿宋"/>
          <w:bCs/>
          <w:sz w:val="32"/>
          <w:szCs w:val="32"/>
          <w:lang w:val="en-US" w:eastAsia="zh-CN"/>
        </w:rPr>
        <w:t xml:space="preserve">     </w:t>
      </w:r>
      <w:r>
        <w:rPr>
          <w:rFonts w:hint="eastAsia" w:ascii="仿宋" w:hAnsi="仿宋" w:eastAsia="仿宋"/>
          <w:bCs/>
          <w:sz w:val="32"/>
          <w:szCs w:val="32"/>
        </w:rPr>
        <w:t xml:space="preserve">    </w:t>
      </w:r>
      <w:r>
        <w:rPr>
          <w:rFonts w:hint="eastAsia" w:ascii="仿宋" w:hAnsi="仿宋" w:eastAsia="仿宋"/>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600" w:lineRule="exact"/>
        <w:ind w:right="1222" w:rightChars="382"/>
        <w:jc w:val="right"/>
        <w:textAlignment w:val="auto"/>
        <w:rPr>
          <w:rFonts w:hint="eastAsia" w:ascii="仿宋" w:hAnsi="仿宋" w:eastAsia="仿宋"/>
          <w:bCs/>
          <w:sz w:val="32"/>
          <w:szCs w:val="32"/>
        </w:rPr>
      </w:pPr>
      <w:r>
        <w:rPr>
          <w:rFonts w:ascii="Times New Roman" w:hAnsi="Times New Roman" w:eastAsia="仿宋"/>
          <w:bCs/>
          <w:sz w:val="32"/>
          <w:szCs w:val="32"/>
        </w:rPr>
        <w:t>2022</w:t>
      </w:r>
      <w:r>
        <w:rPr>
          <w:rFonts w:ascii="仿宋" w:hAnsi="仿宋" w:eastAsia="仿宋"/>
          <w:bCs/>
          <w:sz w:val="32"/>
          <w:szCs w:val="32"/>
        </w:rPr>
        <w:t>年</w:t>
      </w:r>
      <w:r>
        <w:rPr>
          <w:rFonts w:ascii="Times New Roman" w:hAnsi="Times New Roman" w:eastAsia="仿宋"/>
          <w:bCs/>
          <w:sz w:val="32"/>
          <w:szCs w:val="32"/>
        </w:rPr>
        <w:t>5</w:t>
      </w:r>
      <w:r>
        <w:rPr>
          <w:rFonts w:ascii="仿宋" w:hAnsi="仿宋" w:eastAsia="仿宋"/>
          <w:bCs/>
          <w:sz w:val="32"/>
          <w:szCs w:val="32"/>
        </w:rPr>
        <w:t>月</w:t>
      </w:r>
      <w:r>
        <w:rPr>
          <w:rFonts w:hint="eastAsia" w:ascii="Times New Roman" w:hAnsi="Times New Roman" w:eastAsia="仿宋"/>
          <w:bCs/>
          <w:sz w:val="32"/>
          <w:szCs w:val="32"/>
          <w:lang w:val="en-US" w:eastAsia="zh-CN"/>
        </w:rPr>
        <w:t>17</w:t>
      </w:r>
      <w:r>
        <w:rPr>
          <w:rFonts w:ascii="仿宋" w:hAnsi="仿宋" w:eastAsia="仿宋"/>
          <w:bCs/>
          <w:sz w:val="32"/>
          <w:szCs w:val="32"/>
        </w:rPr>
        <w:t>日</w:t>
      </w:r>
      <w:r>
        <w:rPr>
          <w:rFonts w:hint="eastAsia" w:ascii="仿宋" w:hAnsi="仿宋" w:eastAsia="仿宋"/>
          <w:bCs/>
          <w:sz w:val="32"/>
          <w:szCs w:val="32"/>
        </w:rPr>
        <w:t xml:space="preserve"> </w:t>
      </w:r>
    </w:p>
    <w:p>
      <w:pPr>
        <w:keepNext w:val="0"/>
        <w:keepLines w:val="0"/>
        <w:pageBreakBefore w:val="0"/>
        <w:widowControl w:val="0"/>
        <w:kinsoku/>
        <w:wordWrap/>
        <w:overflowPunct/>
        <w:topLinePunct w:val="0"/>
        <w:autoSpaceDE/>
        <w:autoSpaceDN/>
        <w:bidi w:val="0"/>
        <w:adjustRightInd w:val="0"/>
        <w:snapToGrid/>
        <w:spacing w:line="600" w:lineRule="exact"/>
        <w:jc w:val="left"/>
        <w:textAlignment w:val="auto"/>
        <w:rPr>
          <w:rFonts w:eastAsia="仿宋"/>
          <w:sz w:val="21"/>
          <w:szCs w:val="21"/>
        </w:rPr>
      </w:pPr>
      <w:r>
        <w:rPr>
          <w:rFonts w:hint="eastAsia" w:eastAsia="仿宋"/>
        </w:rPr>
        <w:t xml:space="preserve">    （此件公开</w:t>
      </w:r>
      <w:r>
        <w:rPr>
          <w:rFonts w:hint="eastAsia" w:eastAsia="仿宋"/>
          <w:lang w:val="en-US" w:eastAsia="zh-CN"/>
        </w:rPr>
        <w:t>发布</w:t>
      </w:r>
      <w:r>
        <w:rPr>
          <w:rFonts w:hint="eastAsia" w:eastAsia="仿宋"/>
        </w:rPr>
        <w:t>）</w:t>
      </w:r>
    </w:p>
    <w:p>
      <w:pPr>
        <w:rPr>
          <w:rFonts w:eastAsia="仿宋"/>
          <w:sz w:val="21"/>
          <w:szCs w:val="21"/>
        </w:rPr>
        <w:sectPr>
          <w:footerReference r:id="rId3" w:type="default"/>
          <w:footerReference r:id="rId4" w:type="even"/>
          <w:pgSz w:w="11906" w:h="16838"/>
          <w:pgMar w:top="2098" w:right="1531" w:bottom="1984" w:left="1531" w:header="851" w:footer="992" w:gutter="0"/>
          <w:pgNumType w:fmt="decimal"/>
          <w:cols w:space="425" w:num="1"/>
          <w:docGrid w:linePitch="435" w:charSpace="0"/>
        </w:sectPr>
      </w:pPr>
      <w:r>
        <w:rPr>
          <w:rFonts w:eastAsia="仿宋"/>
          <w:sz w:val="21"/>
          <w:szCs w:val="21"/>
        </w:rPr>
        <w:br w:type="page"/>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辽宁省科技成果转化中试基地项目</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管理办法（试行）</w:t>
      </w:r>
    </w:p>
    <w:p>
      <w:pPr>
        <w:widowControl/>
        <w:spacing w:line="360" w:lineRule="auto"/>
        <w:jc w:val="center"/>
        <w:rPr>
          <w:rFonts w:hint="eastAsia" w:ascii="仿宋_GB2312"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ascii="仿宋_GB2312" w:hAnsi="仿宋_GB2312" w:eastAsia="仿宋_GB2312" w:cs="仿宋_GB2312"/>
          <w:sz w:val="32"/>
          <w:szCs w:val="32"/>
        </w:rPr>
      </w:pPr>
      <w:r>
        <w:rPr>
          <w:rFonts w:hint="eastAsia" w:ascii="黑体" w:hAnsi="黑体" w:eastAsia="黑体" w:cs="黑体"/>
          <w:sz w:val="32"/>
          <w:szCs w:val="32"/>
        </w:rPr>
        <w:t>第一章  总则</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第一条 为有效破解我省科技型企业中试验证难题，提升行业和企业自主创新能力，加快推进先进适用科技成果在省内转移转化和产业化，根据《中共辽宁省委辽宁省人民政府关于贯彻</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国家创新驱动发展战略纲要</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建设科技强省的实施意见》（辽委发〔</w:t>
      </w:r>
      <w:r>
        <w:rPr>
          <w:rFonts w:hint="eastAsia" w:ascii="Times New Roman" w:hAnsi="Times New Roman" w:eastAsia="仿宋_GB2312" w:cs="仿宋_GB2312"/>
          <w:sz w:val="32"/>
          <w:szCs w:val="32"/>
        </w:rPr>
        <w:t>2017</w:t>
      </w:r>
      <w:r>
        <w:rPr>
          <w:rFonts w:hint="eastAsia" w:ascii="仿宋_GB2312" w:hAnsi="仿宋_GB2312" w:eastAsia="仿宋_GB2312" w:cs="仿宋_GB2312"/>
          <w:sz w:val="32"/>
          <w:szCs w:val="32"/>
        </w:rPr>
        <w:t>〕</w:t>
      </w:r>
      <w:r>
        <w:rPr>
          <w:rFonts w:hint="eastAsia" w:ascii="Times New Roman" w:hAnsi="Times New Roman" w:eastAsia="仿宋_GB2312" w:cs="仿宋_GB2312"/>
          <w:sz w:val="32"/>
          <w:szCs w:val="32"/>
        </w:rPr>
        <w:t>5</w:t>
      </w:r>
      <w:r>
        <w:rPr>
          <w:rFonts w:hint="eastAsia" w:ascii="仿宋_GB2312" w:hAnsi="仿宋_GB2312" w:eastAsia="仿宋_GB2312" w:cs="仿宋_GB2312"/>
          <w:sz w:val="32"/>
          <w:szCs w:val="32"/>
        </w:rPr>
        <w:t>号）《辽宁省人民政府关于印发辽宁省技术转移体系建设实施</w:t>
      </w:r>
      <w:r>
        <w:rPr>
          <w:rFonts w:ascii="仿宋_GB2312" w:eastAsia="仿宋_GB2312" w:hAnsiTheme="minorEastAsia"/>
          <w:sz w:val="32"/>
          <w:szCs w:val="32"/>
        </w:rPr>
        <w:t>方案的通知</w:t>
      </w:r>
      <w:r>
        <w:rPr>
          <w:rFonts w:hint="eastAsia" w:ascii="仿宋_GB2312" w:eastAsia="仿宋_GB2312" w:hAnsiTheme="minorEastAsia"/>
          <w:sz w:val="32"/>
          <w:szCs w:val="32"/>
        </w:rPr>
        <w:t>》（辽政发〔</w:t>
      </w:r>
      <w:r>
        <w:rPr>
          <w:rFonts w:hint="eastAsia" w:ascii="Times New Roman" w:hAnsi="Times New Roman" w:eastAsia="仿宋_GB2312"/>
          <w:sz w:val="32"/>
          <w:szCs w:val="32"/>
        </w:rPr>
        <w:t>2018</w:t>
      </w:r>
      <w:r>
        <w:rPr>
          <w:rFonts w:hint="eastAsia" w:ascii="仿宋_GB2312" w:eastAsia="仿宋_GB2312" w:hAnsiTheme="minorEastAsia"/>
          <w:sz w:val="32"/>
          <w:szCs w:val="32"/>
        </w:rPr>
        <w:t>〕</w:t>
      </w:r>
      <w:r>
        <w:rPr>
          <w:rFonts w:hint="eastAsia" w:ascii="Times New Roman" w:hAnsi="Times New Roman" w:eastAsia="仿宋_GB2312"/>
          <w:sz w:val="32"/>
          <w:szCs w:val="32"/>
        </w:rPr>
        <w:t>3</w:t>
      </w:r>
      <w:r>
        <w:rPr>
          <w:rFonts w:hint="eastAsia" w:ascii="仿宋_GB2312" w:eastAsia="仿宋_GB2312" w:hAnsiTheme="minorEastAsia"/>
          <w:sz w:val="32"/>
          <w:szCs w:val="32"/>
        </w:rPr>
        <w:t>号），特制定本办法。</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第二条 本办法所称科技成果转化中试基地</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以下简称“中试基地”)，是指围绕前沿产品创制、概念产品试制、产学研联合攻关等中试需求，具备固定场地、设备条件和中试服务能力，为行业的科技成果进行二次开发实验，为企业规模生产提供成熟、适用、成套技术而开展中间试验的科研开发实体，是支撑产业链创新、助推科技成果转移转化和产业化的重要平台。</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sz w:val="32"/>
          <w:szCs w:val="32"/>
        </w:rPr>
        <w:t>第三条 省科技厅负责省级中试基地认定管理工作，</w:t>
      </w:r>
      <w:r>
        <w:rPr>
          <w:rFonts w:hint="eastAsia" w:ascii="仿宋_GB2312" w:hAnsi="仿宋_GB2312" w:cs="仿宋_GB2312"/>
          <w:sz w:val="32"/>
          <w:szCs w:val="32"/>
          <w:lang w:eastAsia="zh-CN"/>
        </w:rPr>
        <w:t>制定</w:t>
      </w:r>
      <w:r>
        <w:rPr>
          <w:rFonts w:hint="eastAsia" w:ascii="仿宋_GB2312" w:hAnsi="仿宋_GB2312" w:eastAsia="仿宋_GB2312" w:cs="仿宋_GB2312"/>
          <w:sz w:val="32"/>
          <w:szCs w:val="32"/>
        </w:rPr>
        <w:t>支持中试基地建设和中试项目开展的政策并组织实施，指导协调中试基地建设运行等相关工作。省</w:t>
      </w:r>
      <w:r>
        <w:rPr>
          <w:rFonts w:hint="eastAsia" w:ascii="仿宋_GB2312" w:hAnsi="仿宋_GB2312" w:eastAsia="仿宋_GB2312" w:cs="仿宋_GB2312"/>
          <w:color w:val="000000" w:themeColor="text1"/>
          <w:sz w:val="32"/>
          <w:szCs w:val="32"/>
        </w:rPr>
        <w:t>财政厅负责统筹省科技专项资金，对符合条件的省级中试基地项目给予支持。</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rPr>
        <w:t>各市和沈抚示范区科技局</w:t>
      </w:r>
      <w:r>
        <w:rPr>
          <w:rFonts w:hint="eastAsia" w:ascii="仿宋_GB2312" w:hAnsi="仿宋_GB2312" w:eastAsia="仿宋_GB2312" w:cs="仿宋_GB2312"/>
          <w:sz w:val="32"/>
          <w:szCs w:val="32"/>
        </w:rPr>
        <w:t>具体负责推进本地区中试基地特别是省级中试基地的建设运行和服务管理工作。</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ascii="黑体" w:hAnsi="黑体" w:eastAsia="黑体" w:cs="黑体"/>
          <w:sz w:val="32"/>
          <w:szCs w:val="32"/>
        </w:rPr>
      </w:pPr>
      <w:r>
        <w:rPr>
          <w:rFonts w:hint="eastAsia" w:ascii="黑体" w:hAnsi="黑体" w:eastAsia="黑体" w:cs="黑体"/>
          <w:sz w:val="32"/>
          <w:szCs w:val="32"/>
        </w:rPr>
        <w:t>第二章  认定条件和程序</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第四条 申报省级中试基地（含“省级典型示范中试基地”）应当具备以下基本条件：</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（一）能够发挥中试设施作用，为行业内企业和科研单位提供中试服务。能够按照行业主管部门要求，严格规范服务行为；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（二）拥有本行业必要的通用计量、检测仪器、常规实验设备。拥有承担行业综合性中间试验任务必需的专用设备、场地及配套设施。拥有必要的安全、环保设施设备及制度条件；</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（三）专业技术人才团队结构合理，熟悉中试研究工作，能组织制定科学合理的中试研究方案和规程，并认真执行；</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（四）内部管理制度健全，有明晰的对外服务承接程序和合理的收费标准，能够不断创新运行机制和服务模式；</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（五）自申请认定备案截止日期前三年内，申报主体未发生司法、行政机关认定的严重违法失信行为。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其中，省级典型示范中试基地除具备上述基本条件外，还应具备以下条件：</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（一）符合我省主导产业发展方向，能为我省三个万亿级产业基地发展提供支撑；</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（二）与高校、科研院所（含转制院所）建立长期的合作关系，具有稳定的成果来源；</w:t>
      </w:r>
    </w:p>
    <w:p>
      <w:pPr>
        <w:keepNext w:val="0"/>
        <w:keepLines w:val="0"/>
        <w:pageBreakBefore w:val="0"/>
        <w:widowControl w:val="0"/>
        <w:kinsoku/>
        <w:wordWrap/>
        <w:overflowPunct/>
        <w:topLinePunct w:val="0"/>
        <w:autoSpaceDE/>
        <w:autoSpaceDN/>
        <w:bidi w:val="0"/>
        <w:adjustRightInd/>
        <w:snapToGrid/>
        <w:spacing w:line="620" w:lineRule="exact"/>
        <w:ind w:firstLine="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（三）已开展中试项目验证并在促进成果在辽宁本地转化方面取得突出成效，或与院士等国家杰出人才及其团队建立长期稳定合作关系。</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第五条 省级中试基地认定工作原则上成熟一批、启动一批，各市和沈抚示范区科技局根据省科技厅通知要求组织申报单位报送相关</w:t>
      </w:r>
      <w:r>
        <w:rPr>
          <w:rFonts w:hint="eastAsia" w:ascii="仿宋_GB2312" w:hAnsi="仿宋_GB2312" w:eastAsia="仿宋_GB2312" w:cs="仿宋_GB2312"/>
          <w:color w:val="000000" w:themeColor="text1"/>
          <w:sz w:val="32"/>
          <w:szCs w:val="32"/>
        </w:rPr>
        <w:t>材料，高校和科研院所建立的中试基地按属地原则推荐。</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第六条 申报单位应提供中试基地申报书、建设方案及相关材料。</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第七条 各市</w:t>
      </w:r>
      <w:r>
        <w:rPr>
          <w:rFonts w:ascii="仿宋_GB2312" w:hAnsi="仿宋_GB2312" w:eastAsia="仿宋_GB2312" w:cs="仿宋_GB2312"/>
          <w:sz w:val="32"/>
          <w:szCs w:val="32"/>
        </w:rPr>
        <w:t>和</w:t>
      </w:r>
      <w:r>
        <w:rPr>
          <w:rFonts w:hint="eastAsia" w:ascii="仿宋_GB2312" w:hAnsi="仿宋_GB2312" w:eastAsia="仿宋_GB2312" w:cs="仿宋_GB2312"/>
          <w:sz w:val="32"/>
          <w:szCs w:val="32"/>
        </w:rPr>
        <w:t>沈抚示范区科技局负责对申报材料进行初审核实，对符合中试基地认定条件的，正式行文向省科技厅推荐。</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第八条 省科技厅委托第三方机构或组织专家对申报中试基地进行评估论证，综合考虑评估论证结果和我省实际情况，确定拟认定的省级中试基地并进行公示，公示期</w:t>
      </w:r>
      <w:r>
        <w:rPr>
          <w:rFonts w:hint="eastAsia" w:ascii="Times New Roman" w:hAnsi="Times New Roman" w:eastAsia="仿宋_GB2312" w:cs="仿宋_GB2312"/>
          <w:sz w:val="32"/>
          <w:szCs w:val="32"/>
        </w:rPr>
        <w:t>5</w:t>
      </w:r>
      <w:r>
        <w:rPr>
          <w:rFonts w:hint="eastAsia" w:ascii="仿宋_GB2312" w:hAnsi="仿宋_GB2312" w:eastAsia="仿宋_GB2312" w:cs="仿宋_GB2312"/>
          <w:sz w:val="32"/>
          <w:szCs w:val="32"/>
        </w:rPr>
        <w:t>个工作日，公示期满无异议的认定为省级中试基地。</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ascii="黑体" w:hAnsi="黑体" w:eastAsia="黑体" w:cs="黑体"/>
          <w:sz w:val="32"/>
          <w:szCs w:val="32"/>
        </w:rPr>
      </w:pPr>
      <w:r>
        <w:rPr>
          <w:rFonts w:hint="eastAsia" w:ascii="黑体" w:hAnsi="黑体" w:eastAsia="黑体" w:cs="黑体"/>
          <w:sz w:val="32"/>
          <w:szCs w:val="32"/>
        </w:rPr>
        <w:t>第三章  支持与管理</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第九条 省级中试基地项目全过程管理按照《辽宁省科技计划项目管理办法》执行，原则上支持范围为省级中试基地，对在服务国家战略需求、破解“卡脖子”问题等方面具有重大意义的中试基地及项目也可列入支持范围。省级中试基地项目实施周期原则上不超过</w:t>
      </w:r>
      <w:r>
        <w:rPr>
          <w:rFonts w:hint="eastAsia" w:ascii="Times New Roman" w:hAnsi="Times New Roman" w:eastAsia="仿宋_GB2312" w:cs="仿宋_GB2312"/>
          <w:color w:val="000000" w:themeColor="text1"/>
          <w:sz w:val="32"/>
          <w:szCs w:val="32"/>
        </w:rPr>
        <w:t>3</w:t>
      </w:r>
      <w:r>
        <w:rPr>
          <w:rFonts w:hint="eastAsia" w:ascii="仿宋_GB2312" w:hAnsi="仿宋_GB2312" w:eastAsia="仿宋_GB2312" w:cs="仿宋_GB2312"/>
          <w:color w:val="000000" w:themeColor="text1"/>
          <w:sz w:val="32"/>
          <w:szCs w:val="32"/>
        </w:rPr>
        <w:t>年，主要分为</w:t>
      </w:r>
      <w:r>
        <w:rPr>
          <w:rFonts w:hint="eastAsia" w:ascii="Times New Roman" w:hAnsi="Times New Roman" w:eastAsia="仿宋_GB2312" w:cs="仿宋_GB2312"/>
          <w:color w:val="000000" w:themeColor="text1"/>
          <w:sz w:val="32"/>
          <w:szCs w:val="32"/>
        </w:rPr>
        <w:t>3</w:t>
      </w:r>
      <w:r>
        <w:rPr>
          <w:rFonts w:hint="eastAsia" w:ascii="仿宋_GB2312" w:hAnsi="仿宋_GB2312" w:eastAsia="仿宋_GB2312" w:cs="仿宋_GB2312"/>
          <w:color w:val="000000" w:themeColor="text1"/>
          <w:sz w:val="32"/>
          <w:szCs w:val="32"/>
        </w:rPr>
        <w:t>类：</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（一）中试基地建设项目。重点支持中试基地购置与中试相关的仪器设备，建设中试验证装置等。</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（二）中试项目。重点支持在中试基地开展的各类中试验证项目。</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（三）省内转化的熟化验证项目。重点支持经中试基地熟化验证并在省内落地的科技成果转化项目，引导先进适用成果在辽宁落地转化。</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s="仿宋"/>
          <w:color w:val="000000" w:themeColor="text1"/>
          <w:sz w:val="32"/>
          <w:szCs w:val="32"/>
        </w:rPr>
      </w:pPr>
      <w:r>
        <w:rPr>
          <w:rFonts w:hint="eastAsia" w:ascii="仿宋_GB2312" w:hAnsi="仿宋_GB2312" w:eastAsia="仿宋_GB2312" w:cs="仿宋_GB2312"/>
          <w:color w:val="000000" w:themeColor="text1"/>
          <w:sz w:val="32"/>
          <w:szCs w:val="32"/>
        </w:rPr>
        <w:t>第十条 项目申报单位依据省科技厅下发的省级中试基地项目申报通知要求，通过辽宁省科技创新综合信息平台完成项目申报工作。</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rPr>
        <w:t>第十一条 各市和沈抚示范区科技局负责对申报材料进行初审核实。对于典型示范中试基地申报的</w:t>
      </w:r>
      <w:r>
        <w:rPr>
          <w:rFonts w:hint="eastAsia" w:ascii="仿宋_GB2312" w:hAnsi="仿宋_GB2312" w:eastAsia="仿宋_GB2312" w:cs="仿宋_GB2312"/>
          <w:sz w:val="32"/>
          <w:szCs w:val="32"/>
        </w:rPr>
        <w:t>项目，须以市政府名义正式行文向省科技厅推荐，并明确相应支持措施；其他中试基地申报的项目由各市和沈抚示范区科技局正式行文向省科技厅推荐。</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sz w:val="32"/>
          <w:szCs w:val="32"/>
        </w:rPr>
        <w:t>第十二条 省科技厅委托第三方机构或组织专家进行评估论证，综合考虑评估论证结果和我省实际情况，确定拟支持的</w:t>
      </w:r>
      <w:r>
        <w:rPr>
          <w:rFonts w:hint="eastAsia" w:ascii="仿宋_GB2312" w:hAnsi="仿宋_GB2312" w:eastAsia="仿宋_GB2312" w:cs="仿宋_GB2312"/>
          <w:color w:val="000000" w:themeColor="text1"/>
          <w:sz w:val="32"/>
          <w:szCs w:val="32"/>
        </w:rPr>
        <w:t>项目并进行公示，公示期</w:t>
      </w:r>
      <w:r>
        <w:rPr>
          <w:rFonts w:hint="eastAsia" w:ascii="Times New Roman" w:hAnsi="Times New Roman" w:eastAsia="仿宋_GB2312" w:cs="仿宋_GB2312"/>
          <w:color w:val="000000" w:themeColor="text1"/>
          <w:sz w:val="32"/>
          <w:szCs w:val="32"/>
        </w:rPr>
        <w:t>5</w:t>
      </w:r>
      <w:r>
        <w:rPr>
          <w:rFonts w:hint="eastAsia" w:ascii="仿宋_GB2312" w:hAnsi="仿宋_GB2312" w:eastAsia="仿宋_GB2312" w:cs="仿宋_GB2312"/>
          <w:color w:val="000000" w:themeColor="text1"/>
          <w:sz w:val="32"/>
          <w:szCs w:val="32"/>
        </w:rPr>
        <w:t>个工作日，公示期满无异议的给予立项支持。</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第十三条 支持符合条件的省级中试基地优先承担省科技计划</w:t>
      </w: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专项、基金、</w:t>
      </w: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揭榜挂帅</w:t>
      </w: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等</w:t>
      </w: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研发任务。</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第十四条 鼓励高等学校、科研院所和龙头企业依托优质科技创新资源，建设开放共享的中试基地，面向省内企业和科研单位提供中试服务。</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第十五条 鼓励省级典型示范中试基地在组织运营模式、经费管理使用等方面开展先行先试。</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第十六条 省科技厅每年组织开展省级中试基地年度绩效评价。各市和沈抚示范区科技局根据省科技厅通知要求，组织省级中试基地填报年度运行报告，并负责对其真实性进行审核。评价材料主要包括</w:t>
      </w:r>
      <w:r>
        <w:rPr>
          <w:rFonts w:hint="eastAsia" w:ascii="仿宋_GB2312" w:hAnsi="仿宋_GB2312" w:cs="仿宋_GB2312"/>
          <w:color w:val="000000" w:themeColor="text1"/>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一</w:t>
      </w: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中试基地年度工作报告；</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二</w:t>
      </w: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中试基地运行绩效和服务项目有关证明材料等。</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第十七条 省科技厅委托第三方机构或组织专家进行评估，综合考虑评估结果和工作实际情况，确定省级中试基地年度评价结果，经公示无异议后，在一定范围内公布。</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第十八条 绩效评价结果分为优秀、良好、合格和不合格。对于连续</w:t>
      </w:r>
      <w:r>
        <w:rPr>
          <w:rFonts w:hint="eastAsia" w:ascii="Times New Roman" w:hAnsi="Times New Roman" w:eastAsia="仿宋_GB2312" w:cs="仿宋_GB2312"/>
          <w:color w:val="000000" w:themeColor="text1"/>
          <w:sz w:val="32"/>
          <w:szCs w:val="32"/>
        </w:rPr>
        <w:t>2</w:t>
      </w:r>
      <w:r>
        <w:rPr>
          <w:rFonts w:hint="eastAsia" w:ascii="仿宋_GB2312" w:hAnsi="仿宋_GB2312" w:eastAsia="仿宋_GB2312" w:cs="仿宋_GB2312"/>
          <w:color w:val="000000" w:themeColor="text1"/>
          <w:sz w:val="32"/>
          <w:szCs w:val="32"/>
        </w:rPr>
        <w:t>年不合格的，撤销其省级中试基地资格。</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第十九条 有下列情形之一的，直接撤销省级中试基地资格。</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一</w:t>
      </w: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由于管理不善导致严重服务质量事故、安全事故或环保事故的</w:t>
      </w:r>
      <w:r>
        <w:rPr>
          <w:rFonts w:hint="eastAsia" w:ascii="仿宋_GB2312" w:hAnsi="仿宋_GB2312" w:cs="仿宋_GB2312"/>
          <w:color w:val="000000" w:themeColor="text1"/>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二</w:t>
      </w: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有提供虚假材料或数据等科研失信行为的</w:t>
      </w:r>
      <w:r>
        <w:rPr>
          <w:rFonts w:hint="eastAsia" w:ascii="仿宋_GB2312" w:hAnsi="仿宋_GB2312" w:cs="仿宋_GB2312"/>
          <w:color w:val="000000" w:themeColor="text1"/>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三</w:t>
      </w:r>
      <w:r>
        <w:rPr>
          <w:rFonts w:hint="eastAsia" w:ascii="仿宋_GB2312" w:hAnsi="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已不再具备中试服务能力的。</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因上述原因被撤销备案资格的，自撤销之日起，两年内不得再次申请备案。</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第四章  附则</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第二十条 各地区可参照本</w:t>
      </w:r>
      <w:bookmarkStart w:id="0" w:name="_GoBack"/>
      <w:r>
        <w:rPr>
          <w:rFonts w:hint="eastAsia" w:ascii="仿宋_GB2312" w:hAnsi="仿宋_GB2312" w:eastAsia="仿宋_GB2312" w:cs="仿宋_GB2312"/>
          <w:sz w:val="32"/>
          <w:szCs w:val="32"/>
        </w:rPr>
        <w:t>办法，制定相应政策，支持中试基地建设与发展。</w:t>
      </w:r>
    </w:p>
    <w:bookmarkEnd w:id="0"/>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第二十一条 本办法自发布之日起施行。《辽宁省科技成果转化中试基地备案管理办法（试行）》（辽科发〔</w:t>
      </w:r>
      <w:r>
        <w:rPr>
          <w:rFonts w:hint="eastAsia" w:ascii="Times New Roman" w:hAnsi="Times New Roman" w:eastAsia="仿宋_GB2312" w:cs="仿宋_GB2312"/>
          <w:sz w:val="32"/>
          <w:szCs w:val="32"/>
        </w:rPr>
        <w:t>2021</w:t>
      </w:r>
      <w:r>
        <w:rPr>
          <w:rFonts w:hint="eastAsia" w:ascii="仿宋_GB2312" w:hAnsi="仿宋_GB2312" w:eastAsia="仿宋_GB2312" w:cs="仿宋_GB2312"/>
          <w:sz w:val="32"/>
          <w:szCs w:val="32"/>
        </w:rPr>
        <w:t>〕</w:t>
      </w:r>
      <w:r>
        <w:rPr>
          <w:rFonts w:hint="eastAsia" w:ascii="Times New Roman" w:hAnsi="Times New Roman" w:eastAsia="仿宋_GB2312" w:cs="仿宋_GB2312"/>
          <w:sz w:val="32"/>
          <w:szCs w:val="32"/>
        </w:rPr>
        <w:t>10</w:t>
      </w:r>
      <w:r>
        <w:rPr>
          <w:rFonts w:hint="eastAsia" w:ascii="仿宋_GB2312" w:hAnsi="仿宋_GB2312" w:eastAsia="仿宋_GB2312" w:cs="仿宋_GB2312"/>
          <w:sz w:val="32"/>
          <w:szCs w:val="32"/>
        </w:rPr>
        <w:t>号）同步废止。</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 本办法由省科技厅、省财政厅负责解释。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pPr>
        <w:rPr>
          <w:rFonts w:ascii="仿宋_GB2312" w:hAnsi="仿宋_GB2312" w:eastAsia="仿宋_GB2312" w:cs="仿宋_GB2312"/>
          <w:sz w:val="32"/>
          <w:szCs w:val="32"/>
        </w:rPr>
      </w:pPr>
      <w:r>
        <w:rPr>
          <w:rFonts w:ascii="仿宋_GB2312" w:hAnsi="仿宋_GB2312" w:eastAsia="仿宋_GB2312" w:cs="仿宋_GB2312"/>
          <w:sz w:val="32"/>
          <w:szCs w:val="32"/>
        </w:rPr>
        <w:br w:type="page"/>
      </w:r>
    </w:p>
    <w:tbl>
      <w:tblPr>
        <w:tblStyle w:val="10"/>
        <w:tblpPr w:leftFromText="180" w:rightFromText="180" w:vertAnchor="text" w:horzAnchor="page" w:tblpX="1646" w:tblpY="126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846" w:type="dxa"/>
            <w:tcBorders>
              <w:top w:val="single" w:color="auto" w:sz="8" w:space="0"/>
              <w:left w:val="nil"/>
              <w:bottom w:val="single" w:color="auto" w:sz="8" w:space="0"/>
              <w:right w:val="nil"/>
            </w:tcBorders>
          </w:tcPr>
          <w:p>
            <w:pPr>
              <w:adjustRightInd w:val="0"/>
              <w:spacing w:line="500" w:lineRule="exact"/>
              <w:contextualSpacing/>
              <w:jc w:val="center"/>
              <w:rPr>
                <w:rFonts w:eastAsia="仿宋"/>
                <w:color w:val="272727"/>
                <w:sz w:val="28"/>
                <w:szCs w:val="28"/>
              </w:rPr>
            </w:pPr>
            <w:r>
              <w:rPr>
                <w:rFonts w:hint="eastAsia" w:eastAsia="仿宋"/>
                <w:color w:val="272727"/>
                <w:sz w:val="28"/>
                <w:szCs w:val="28"/>
              </w:rPr>
              <w:t xml:space="preserve">辽宁省科技厅办公室                      </w:t>
            </w:r>
            <w:r>
              <w:rPr>
                <w:rFonts w:hint="eastAsia" w:ascii="Times New Roman" w:hAnsi="Times New Roman" w:eastAsia="仿宋"/>
                <w:color w:val="272727"/>
                <w:sz w:val="28"/>
                <w:szCs w:val="28"/>
              </w:rPr>
              <w:t>2022</w:t>
            </w:r>
            <w:r>
              <w:rPr>
                <w:rFonts w:hint="eastAsia" w:eastAsia="仿宋"/>
                <w:color w:val="272727"/>
                <w:sz w:val="28"/>
                <w:szCs w:val="28"/>
              </w:rPr>
              <w:t>年</w:t>
            </w:r>
            <w:r>
              <w:rPr>
                <w:rFonts w:hint="eastAsia" w:ascii="Times New Roman" w:hAnsi="Times New Roman" w:eastAsia="仿宋"/>
                <w:color w:val="272727"/>
                <w:sz w:val="28"/>
                <w:szCs w:val="28"/>
                <w:lang w:val="en-US" w:eastAsia="zh-CN"/>
              </w:rPr>
              <w:t>5</w:t>
            </w:r>
            <w:r>
              <w:rPr>
                <w:rFonts w:hint="eastAsia" w:eastAsia="仿宋"/>
                <w:color w:val="272727"/>
                <w:sz w:val="28"/>
                <w:szCs w:val="28"/>
              </w:rPr>
              <w:t>月</w:t>
            </w:r>
            <w:r>
              <w:rPr>
                <w:rFonts w:hint="eastAsia" w:ascii="Times New Roman" w:hAnsi="Times New Roman" w:eastAsia="仿宋"/>
                <w:color w:val="272727"/>
                <w:sz w:val="28"/>
                <w:szCs w:val="28"/>
                <w:lang w:val="en-US" w:eastAsia="zh-CN"/>
              </w:rPr>
              <w:t>1</w:t>
            </w:r>
            <w:r>
              <w:rPr>
                <w:rFonts w:hint="eastAsia" w:eastAsia="仿宋"/>
                <w:color w:val="272727"/>
                <w:sz w:val="28"/>
                <w:szCs w:val="28"/>
                <w:lang w:val="en-US" w:eastAsia="zh-CN"/>
              </w:rPr>
              <w:t>7</w:t>
            </w:r>
            <w:r>
              <w:rPr>
                <w:rFonts w:hint="eastAsia" w:eastAsia="仿宋"/>
                <w:color w:val="272727"/>
                <w:sz w:val="28"/>
                <w:szCs w:val="28"/>
              </w:rPr>
              <w:t>日印发</w:t>
            </w:r>
          </w:p>
        </w:tc>
      </w:tr>
    </w:tbl>
    <w:p>
      <w:pPr>
        <w:rPr>
          <w:rFonts w:eastAsia="仿宋"/>
          <w:sz w:val="21"/>
          <w:szCs w:val="21"/>
        </w:rPr>
        <w:sectPr>
          <w:pgSz w:w="11906" w:h="16838"/>
          <w:pgMar w:top="2098" w:right="1531" w:bottom="1417" w:left="1531" w:header="851" w:footer="992" w:gutter="0"/>
          <w:pgNumType w:fmt="decimal"/>
          <w:cols w:space="425" w:num="1"/>
          <w:docGrid w:linePitch="435" w:charSpace="0"/>
        </w:sectPr>
      </w:pPr>
    </w:p>
    <w:p>
      <w:pPr>
        <w:keepNext w:val="0"/>
        <w:keepLines w:val="0"/>
        <w:pageBreakBefore w:val="0"/>
        <w:widowControl w:val="0"/>
        <w:kinsoku/>
        <w:wordWrap/>
        <w:overflowPunct/>
        <w:topLinePunct w:val="0"/>
        <w:autoSpaceDE/>
        <w:autoSpaceDN/>
        <w:bidi w:val="0"/>
        <w:adjustRightInd/>
        <w:snapToGrid/>
        <w:spacing w:line="20" w:lineRule="exact"/>
        <w:textAlignment w:val="auto"/>
        <w:rPr>
          <w:rFonts w:eastAsia="仿宋"/>
          <w:sz w:val="21"/>
          <w:szCs w:val="21"/>
        </w:rPr>
      </w:pPr>
    </w:p>
    <w:sectPr>
      <w:footerReference r:id="rId5" w:type="default"/>
      <w:footerReference r:id="rId6" w:type="even"/>
      <w:pgSz w:w="11906" w:h="16838"/>
      <w:pgMar w:top="2098" w:right="1531" w:bottom="1984" w:left="1531" w:header="851" w:footer="992" w:gutter="0"/>
      <w:pgNumType w:fmt="decimal"/>
      <w:cols w:space="425"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eastAsia="仿宋"/>
        <w:sz w:val="24"/>
        <w:szCs w:val="24"/>
      </w:rPr>
    </w:pPr>
    <w:r>
      <w:rPr>
        <w:sz w:val="24"/>
      </w:rPr>
      <w:pict>
        <v:shape id="_x0000_s2054" o:spid="_x0000_s2054"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7"/>
                  <w:jc w:val="right"/>
                </w:pPr>
                <w:r>
                  <w:rPr>
                    <w:rFonts w:hint="eastAsia" w:eastAsia="仿宋"/>
                    <w:sz w:val="24"/>
                    <w:szCs w:val="24"/>
                  </w:rPr>
                  <w:t>—</w:t>
                </w:r>
                <w:r>
                  <w:rPr>
                    <w:rFonts w:eastAsia="仿宋"/>
                    <w:sz w:val="24"/>
                    <w:szCs w:val="24"/>
                  </w:rPr>
                  <w:fldChar w:fldCharType="begin"/>
                </w:r>
                <w:r>
                  <w:rPr>
                    <w:rFonts w:eastAsia="仿宋"/>
                    <w:sz w:val="24"/>
                    <w:szCs w:val="24"/>
                  </w:rPr>
                  <w:instrText xml:space="preserve"> PAGE   \* MERGEFORMAT </w:instrText>
                </w:r>
                <w:r>
                  <w:rPr>
                    <w:rFonts w:eastAsia="仿宋"/>
                    <w:sz w:val="24"/>
                    <w:szCs w:val="24"/>
                  </w:rPr>
                  <w:fldChar w:fldCharType="separate"/>
                </w:r>
                <w:r>
                  <w:rPr>
                    <w:rFonts w:eastAsia="仿宋"/>
                    <w:sz w:val="24"/>
                    <w:szCs w:val="24"/>
                    <w:lang w:val="zh-CN"/>
                  </w:rPr>
                  <w:t>3</w:t>
                </w:r>
                <w:r>
                  <w:rPr>
                    <w:rFonts w:eastAsia="仿宋"/>
                    <w:sz w:val="24"/>
                    <w:szCs w:val="24"/>
                  </w:rPr>
                  <w:fldChar w:fldCharType="end"/>
                </w:r>
                <w:r>
                  <w:rPr>
                    <w:rFonts w:hint="eastAsia" w:eastAsia="仿宋"/>
                    <w:sz w:val="24"/>
                    <w:szCs w:val="24"/>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eastAsia="仿宋"/>
        <w:sz w:val="24"/>
        <w:szCs w:val="24"/>
      </w:rPr>
    </w:pPr>
    <w:r>
      <w:rPr>
        <w:sz w:val="24"/>
      </w:rPr>
      <w:pict>
        <v:shape id="_x0000_s2055" o:spid="_x0000_s2055"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7"/>
                </w:pPr>
                <w:r>
                  <w:rPr>
                    <w:rFonts w:hint="eastAsia" w:eastAsia="仿宋"/>
                    <w:sz w:val="24"/>
                    <w:szCs w:val="24"/>
                  </w:rPr>
                  <w:t>—</w:t>
                </w:r>
                <w:r>
                  <w:rPr>
                    <w:rFonts w:eastAsia="仿宋"/>
                    <w:sz w:val="24"/>
                    <w:szCs w:val="24"/>
                  </w:rPr>
                  <w:fldChar w:fldCharType="begin"/>
                </w:r>
                <w:r>
                  <w:rPr>
                    <w:rFonts w:eastAsia="仿宋"/>
                    <w:sz w:val="24"/>
                    <w:szCs w:val="24"/>
                  </w:rPr>
                  <w:instrText xml:space="preserve"> PAGE   \* MERGEFORMAT </w:instrText>
                </w:r>
                <w:r>
                  <w:rPr>
                    <w:rFonts w:eastAsia="仿宋"/>
                    <w:sz w:val="24"/>
                    <w:szCs w:val="24"/>
                  </w:rPr>
                  <w:fldChar w:fldCharType="separate"/>
                </w:r>
                <w:r>
                  <w:rPr>
                    <w:rFonts w:eastAsia="仿宋"/>
                    <w:sz w:val="24"/>
                    <w:szCs w:val="24"/>
                    <w:lang w:val="zh-CN"/>
                  </w:rPr>
                  <w:t>4</w:t>
                </w:r>
                <w:r>
                  <w:rPr>
                    <w:rFonts w:eastAsia="仿宋"/>
                    <w:sz w:val="24"/>
                    <w:szCs w:val="24"/>
                  </w:rPr>
                  <w:fldChar w:fldCharType="end"/>
                </w:r>
                <w:r>
                  <w:rPr>
                    <w:rFonts w:hint="eastAsia" w:eastAsia="仿宋"/>
                    <w:sz w:val="24"/>
                    <w:szCs w:val="24"/>
                  </w:rPr>
                  <w:t>—</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eastAsia="仿宋"/>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eastAsia="仿宋"/>
        <w:sz w:val="24"/>
        <w:szCs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613"/>
  <w:displayHorizontalDrawingGridEvery w:val="0"/>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Q3NjJlMzgxZGJmNDMxMGJiNWZlYzRjZWRmMGI3NmUifQ=="/>
  </w:docVars>
  <w:rsids>
    <w:rsidRoot w:val="00546D54"/>
    <w:rsid w:val="000100A1"/>
    <w:rsid w:val="000116E7"/>
    <w:rsid w:val="00011CA2"/>
    <w:rsid w:val="00012F57"/>
    <w:rsid w:val="0001405A"/>
    <w:rsid w:val="00015F6A"/>
    <w:rsid w:val="00034977"/>
    <w:rsid w:val="00037C5C"/>
    <w:rsid w:val="000407DA"/>
    <w:rsid w:val="00042232"/>
    <w:rsid w:val="000438B9"/>
    <w:rsid w:val="000805AE"/>
    <w:rsid w:val="00081396"/>
    <w:rsid w:val="00083783"/>
    <w:rsid w:val="000A5FCA"/>
    <w:rsid w:val="000A685C"/>
    <w:rsid w:val="000B019C"/>
    <w:rsid w:val="000B4C4C"/>
    <w:rsid w:val="000B7E46"/>
    <w:rsid w:val="000C03DE"/>
    <w:rsid w:val="000C3D33"/>
    <w:rsid w:val="000C4037"/>
    <w:rsid w:val="000E4CC2"/>
    <w:rsid w:val="0011228D"/>
    <w:rsid w:val="00116CFA"/>
    <w:rsid w:val="0012399E"/>
    <w:rsid w:val="00125AC4"/>
    <w:rsid w:val="0013154E"/>
    <w:rsid w:val="00132A47"/>
    <w:rsid w:val="00136C9B"/>
    <w:rsid w:val="0014214D"/>
    <w:rsid w:val="00150449"/>
    <w:rsid w:val="00157A47"/>
    <w:rsid w:val="0016136E"/>
    <w:rsid w:val="00162167"/>
    <w:rsid w:val="00164A50"/>
    <w:rsid w:val="00177989"/>
    <w:rsid w:val="00186560"/>
    <w:rsid w:val="001934BD"/>
    <w:rsid w:val="001A0939"/>
    <w:rsid w:val="001A348A"/>
    <w:rsid w:val="001A4C2B"/>
    <w:rsid w:val="001B5114"/>
    <w:rsid w:val="001B6004"/>
    <w:rsid w:val="001C35CF"/>
    <w:rsid w:val="001D0659"/>
    <w:rsid w:val="001D554E"/>
    <w:rsid w:val="001D630F"/>
    <w:rsid w:val="001D6610"/>
    <w:rsid w:val="001F041A"/>
    <w:rsid w:val="001F0F1D"/>
    <w:rsid w:val="001F26F2"/>
    <w:rsid w:val="001F4576"/>
    <w:rsid w:val="001F6FDB"/>
    <w:rsid w:val="0021081D"/>
    <w:rsid w:val="00224E54"/>
    <w:rsid w:val="00255628"/>
    <w:rsid w:val="0028596A"/>
    <w:rsid w:val="002A0251"/>
    <w:rsid w:val="002A2515"/>
    <w:rsid w:val="002A393A"/>
    <w:rsid w:val="002A52F0"/>
    <w:rsid w:val="002B26F0"/>
    <w:rsid w:val="002B5ED2"/>
    <w:rsid w:val="002C33C9"/>
    <w:rsid w:val="002D7248"/>
    <w:rsid w:val="002E1332"/>
    <w:rsid w:val="002E36FF"/>
    <w:rsid w:val="002E6360"/>
    <w:rsid w:val="002F1403"/>
    <w:rsid w:val="003040F3"/>
    <w:rsid w:val="003067E7"/>
    <w:rsid w:val="0030781C"/>
    <w:rsid w:val="00314738"/>
    <w:rsid w:val="00315A75"/>
    <w:rsid w:val="00323989"/>
    <w:rsid w:val="003336A3"/>
    <w:rsid w:val="00335C8A"/>
    <w:rsid w:val="00357A94"/>
    <w:rsid w:val="0036562F"/>
    <w:rsid w:val="00366907"/>
    <w:rsid w:val="00375A49"/>
    <w:rsid w:val="003810A1"/>
    <w:rsid w:val="003817F4"/>
    <w:rsid w:val="00395F92"/>
    <w:rsid w:val="003A158A"/>
    <w:rsid w:val="003B41F0"/>
    <w:rsid w:val="003B4EEA"/>
    <w:rsid w:val="003B5598"/>
    <w:rsid w:val="003B64CC"/>
    <w:rsid w:val="003C25A9"/>
    <w:rsid w:val="003C25C8"/>
    <w:rsid w:val="003C4F57"/>
    <w:rsid w:val="003C6838"/>
    <w:rsid w:val="003D4B3E"/>
    <w:rsid w:val="003D6880"/>
    <w:rsid w:val="003F130F"/>
    <w:rsid w:val="003F6FEF"/>
    <w:rsid w:val="004028A2"/>
    <w:rsid w:val="0041199A"/>
    <w:rsid w:val="0041241E"/>
    <w:rsid w:val="004310DC"/>
    <w:rsid w:val="0043416A"/>
    <w:rsid w:val="00440D83"/>
    <w:rsid w:val="0044435C"/>
    <w:rsid w:val="0045104F"/>
    <w:rsid w:val="004572D1"/>
    <w:rsid w:val="004611F4"/>
    <w:rsid w:val="0046484D"/>
    <w:rsid w:val="00466779"/>
    <w:rsid w:val="0047132E"/>
    <w:rsid w:val="00492C82"/>
    <w:rsid w:val="00494287"/>
    <w:rsid w:val="00495F8C"/>
    <w:rsid w:val="0049781C"/>
    <w:rsid w:val="004B0710"/>
    <w:rsid w:val="004C3EBB"/>
    <w:rsid w:val="004C6E19"/>
    <w:rsid w:val="004E48B8"/>
    <w:rsid w:val="004F5E54"/>
    <w:rsid w:val="004F758C"/>
    <w:rsid w:val="00505A13"/>
    <w:rsid w:val="00514ED0"/>
    <w:rsid w:val="00525852"/>
    <w:rsid w:val="0053451E"/>
    <w:rsid w:val="00546D54"/>
    <w:rsid w:val="00552548"/>
    <w:rsid w:val="00561D88"/>
    <w:rsid w:val="005777E8"/>
    <w:rsid w:val="005906A7"/>
    <w:rsid w:val="00590784"/>
    <w:rsid w:val="005922BA"/>
    <w:rsid w:val="0059306A"/>
    <w:rsid w:val="005C67FB"/>
    <w:rsid w:val="005D322F"/>
    <w:rsid w:val="005F622B"/>
    <w:rsid w:val="005F68D6"/>
    <w:rsid w:val="006042D4"/>
    <w:rsid w:val="006071F1"/>
    <w:rsid w:val="00614620"/>
    <w:rsid w:val="00617B79"/>
    <w:rsid w:val="00624500"/>
    <w:rsid w:val="00632AD2"/>
    <w:rsid w:val="0063460D"/>
    <w:rsid w:val="0064084C"/>
    <w:rsid w:val="00644AE7"/>
    <w:rsid w:val="00654465"/>
    <w:rsid w:val="00655FC1"/>
    <w:rsid w:val="006660E6"/>
    <w:rsid w:val="00680FB5"/>
    <w:rsid w:val="00682671"/>
    <w:rsid w:val="0068368F"/>
    <w:rsid w:val="0068642E"/>
    <w:rsid w:val="00697DD8"/>
    <w:rsid w:val="006A0B9B"/>
    <w:rsid w:val="006A4D31"/>
    <w:rsid w:val="006C4FAB"/>
    <w:rsid w:val="006C6485"/>
    <w:rsid w:val="006C7DCE"/>
    <w:rsid w:val="006D720B"/>
    <w:rsid w:val="006E3E84"/>
    <w:rsid w:val="006F61B0"/>
    <w:rsid w:val="00700C98"/>
    <w:rsid w:val="00704349"/>
    <w:rsid w:val="00710435"/>
    <w:rsid w:val="00714BC8"/>
    <w:rsid w:val="00731419"/>
    <w:rsid w:val="00732056"/>
    <w:rsid w:val="00734C86"/>
    <w:rsid w:val="007354F4"/>
    <w:rsid w:val="007412F8"/>
    <w:rsid w:val="007466F1"/>
    <w:rsid w:val="00747A1B"/>
    <w:rsid w:val="00753B6C"/>
    <w:rsid w:val="00753C4C"/>
    <w:rsid w:val="00763D7E"/>
    <w:rsid w:val="0076551F"/>
    <w:rsid w:val="00771C73"/>
    <w:rsid w:val="007732D8"/>
    <w:rsid w:val="00792D22"/>
    <w:rsid w:val="00794807"/>
    <w:rsid w:val="007A712B"/>
    <w:rsid w:val="007B1EAE"/>
    <w:rsid w:val="007C129B"/>
    <w:rsid w:val="007E0DAA"/>
    <w:rsid w:val="007E4592"/>
    <w:rsid w:val="007F0C87"/>
    <w:rsid w:val="00801EB1"/>
    <w:rsid w:val="00810C3E"/>
    <w:rsid w:val="0081249E"/>
    <w:rsid w:val="00814343"/>
    <w:rsid w:val="008171A7"/>
    <w:rsid w:val="00840941"/>
    <w:rsid w:val="00840E44"/>
    <w:rsid w:val="008464E3"/>
    <w:rsid w:val="0085469C"/>
    <w:rsid w:val="00855C98"/>
    <w:rsid w:val="00857073"/>
    <w:rsid w:val="00861044"/>
    <w:rsid w:val="008653CD"/>
    <w:rsid w:val="00885529"/>
    <w:rsid w:val="00891C5C"/>
    <w:rsid w:val="008A2449"/>
    <w:rsid w:val="008B25F4"/>
    <w:rsid w:val="008C2406"/>
    <w:rsid w:val="008C72FF"/>
    <w:rsid w:val="008D464C"/>
    <w:rsid w:val="008D499A"/>
    <w:rsid w:val="008D7813"/>
    <w:rsid w:val="008F0E2D"/>
    <w:rsid w:val="009014BF"/>
    <w:rsid w:val="009044FB"/>
    <w:rsid w:val="0090564C"/>
    <w:rsid w:val="00911B82"/>
    <w:rsid w:val="00925FE7"/>
    <w:rsid w:val="009317C7"/>
    <w:rsid w:val="00935EF0"/>
    <w:rsid w:val="00955E81"/>
    <w:rsid w:val="00966F70"/>
    <w:rsid w:val="009858CD"/>
    <w:rsid w:val="0099196B"/>
    <w:rsid w:val="009929C2"/>
    <w:rsid w:val="009930DE"/>
    <w:rsid w:val="00993BDF"/>
    <w:rsid w:val="009A3676"/>
    <w:rsid w:val="009A7B57"/>
    <w:rsid w:val="009B57B4"/>
    <w:rsid w:val="009C46F9"/>
    <w:rsid w:val="009C65EF"/>
    <w:rsid w:val="009D2943"/>
    <w:rsid w:val="009D2D39"/>
    <w:rsid w:val="009D3ED5"/>
    <w:rsid w:val="009D41BD"/>
    <w:rsid w:val="009D5DF4"/>
    <w:rsid w:val="009E2307"/>
    <w:rsid w:val="009E3F74"/>
    <w:rsid w:val="009E5EB1"/>
    <w:rsid w:val="009F4BE7"/>
    <w:rsid w:val="00A149DF"/>
    <w:rsid w:val="00A225BB"/>
    <w:rsid w:val="00A24A6A"/>
    <w:rsid w:val="00A3573E"/>
    <w:rsid w:val="00A35D15"/>
    <w:rsid w:val="00A5417E"/>
    <w:rsid w:val="00A85CDE"/>
    <w:rsid w:val="00A86F14"/>
    <w:rsid w:val="00AA5F74"/>
    <w:rsid w:val="00AB1DE6"/>
    <w:rsid w:val="00AB1EBA"/>
    <w:rsid w:val="00AC4B3C"/>
    <w:rsid w:val="00AC6CFE"/>
    <w:rsid w:val="00AD1344"/>
    <w:rsid w:val="00AE5F3D"/>
    <w:rsid w:val="00AF2FA2"/>
    <w:rsid w:val="00B03868"/>
    <w:rsid w:val="00B06778"/>
    <w:rsid w:val="00B378D4"/>
    <w:rsid w:val="00B45F8B"/>
    <w:rsid w:val="00B50D7A"/>
    <w:rsid w:val="00B5239A"/>
    <w:rsid w:val="00B5714C"/>
    <w:rsid w:val="00B60EB3"/>
    <w:rsid w:val="00B861BF"/>
    <w:rsid w:val="00B8626D"/>
    <w:rsid w:val="00B866D7"/>
    <w:rsid w:val="00BA17AF"/>
    <w:rsid w:val="00BA7C44"/>
    <w:rsid w:val="00BB0B81"/>
    <w:rsid w:val="00BB25CD"/>
    <w:rsid w:val="00BD183B"/>
    <w:rsid w:val="00BE378C"/>
    <w:rsid w:val="00BF426F"/>
    <w:rsid w:val="00BF4E80"/>
    <w:rsid w:val="00BF7A3C"/>
    <w:rsid w:val="00C01F80"/>
    <w:rsid w:val="00C13332"/>
    <w:rsid w:val="00C238B9"/>
    <w:rsid w:val="00C370ED"/>
    <w:rsid w:val="00C46AD3"/>
    <w:rsid w:val="00C509EF"/>
    <w:rsid w:val="00C562AE"/>
    <w:rsid w:val="00C60D9C"/>
    <w:rsid w:val="00C67CEA"/>
    <w:rsid w:val="00C713FB"/>
    <w:rsid w:val="00C73888"/>
    <w:rsid w:val="00C76106"/>
    <w:rsid w:val="00C7653D"/>
    <w:rsid w:val="00C97108"/>
    <w:rsid w:val="00CA1E2D"/>
    <w:rsid w:val="00CA3B0A"/>
    <w:rsid w:val="00CB56BD"/>
    <w:rsid w:val="00CB6127"/>
    <w:rsid w:val="00CD4F38"/>
    <w:rsid w:val="00CE5F8C"/>
    <w:rsid w:val="00CE7915"/>
    <w:rsid w:val="00CF39A7"/>
    <w:rsid w:val="00D15E9E"/>
    <w:rsid w:val="00D16E12"/>
    <w:rsid w:val="00D365CD"/>
    <w:rsid w:val="00D468A6"/>
    <w:rsid w:val="00D511E3"/>
    <w:rsid w:val="00D5171C"/>
    <w:rsid w:val="00D541B7"/>
    <w:rsid w:val="00D60835"/>
    <w:rsid w:val="00D62D35"/>
    <w:rsid w:val="00D80508"/>
    <w:rsid w:val="00D86A02"/>
    <w:rsid w:val="00D904E3"/>
    <w:rsid w:val="00D95053"/>
    <w:rsid w:val="00D977B3"/>
    <w:rsid w:val="00DC0BF1"/>
    <w:rsid w:val="00DC41A3"/>
    <w:rsid w:val="00DD199E"/>
    <w:rsid w:val="00DD7465"/>
    <w:rsid w:val="00DF592E"/>
    <w:rsid w:val="00E02607"/>
    <w:rsid w:val="00E04C17"/>
    <w:rsid w:val="00E07FF6"/>
    <w:rsid w:val="00E12EC3"/>
    <w:rsid w:val="00E23E8D"/>
    <w:rsid w:val="00E34475"/>
    <w:rsid w:val="00E35337"/>
    <w:rsid w:val="00E459ED"/>
    <w:rsid w:val="00E56B9C"/>
    <w:rsid w:val="00E60EC5"/>
    <w:rsid w:val="00E75095"/>
    <w:rsid w:val="00E769E3"/>
    <w:rsid w:val="00E772E1"/>
    <w:rsid w:val="00E83A5C"/>
    <w:rsid w:val="00E948EF"/>
    <w:rsid w:val="00EA0A62"/>
    <w:rsid w:val="00EA0E9F"/>
    <w:rsid w:val="00EA411F"/>
    <w:rsid w:val="00EA5FB5"/>
    <w:rsid w:val="00EB7C9D"/>
    <w:rsid w:val="00EC2ED4"/>
    <w:rsid w:val="00EC56F7"/>
    <w:rsid w:val="00ED10C8"/>
    <w:rsid w:val="00ED7FB7"/>
    <w:rsid w:val="00EE126A"/>
    <w:rsid w:val="00EF1E23"/>
    <w:rsid w:val="00F07B93"/>
    <w:rsid w:val="00F16D80"/>
    <w:rsid w:val="00F23C29"/>
    <w:rsid w:val="00F257B4"/>
    <w:rsid w:val="00F30449"/>
    <w:rsid w:val="00F34A10"/>
    <w:rsid w:val="00F34A2F"/>
    <w:rsid w:val="00F43409"/>
    <w:rsid w:val="00F448AA"/>
    <w:rsid w:val="00F54DA9"/>
    <w:rsid w:val="00F65621"/>
    <w:rsid w:val="00F660A7"/>
    <w:rsid w:val="00F827FB"/>
    <w:rsid w:val="00F914B7"/>
    <w:rsid w:val="00F95BFD"/>
    <w:rsid w:val="00F9691A"/>
    <w:rsid w:val="00FA58A8"/>
    <w:rsid w:val="00FB0043"/>
    <w:rsid w:val="00FB72FB"/>
    <w:rsid w:val="00FD13AA"/>
    <w:rsid w:val="00FE247B"/>
    <w:rsid w:val="00FE2733"/>
    <w:rsid w:val="00FE6163"/>
    <w:rsid w:val="00FF0B70"/>
    <w:rsid w:val="00FF48C1"/>
    <w:rsid w:val="20BB6037"/>
    <w:rsid w:val="266D6B39"/>
    <w:rsid w:val="27515758"/>
    <w:rsid w:val="3AFE4D0B"/>
    <w:rsid w:val="3FBE4E0F"/>
    <w:rsid w:val="3FE557DD"/>
    <w:rsid w:val="49FC5941"/>
    <w:rsid w:val="50D33636"/>
    <w:rsid w:val="63611CE4"/>
    <w:rsid w:val="673512F5"/>
    <w:rsid w:val="68BA3B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3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2"/>
    <w:semiHidden/>
    <w:unhideWhenUsed/>
    <w:qFormat/>
    <w:uiPriority w:val="99"/>
    <w:rPr>
      <w:rFonts w:ascii="宋体" w:eastAsia="宋体"/>
      <w:sz w:val="18"/>
      <w:szCs w:val="18"/>
    </w:rPr>
  </w:style>
  <w:style w:type="paragraph" w:styleId="3">
    <w:name w:val="Plain Text"/>
    <w:basedOn w:val="1"/>
    <w:unhideWhenUsed/>
    <w:uiPriority w:val="0"/>
    <w:rPr>
      <w:rFonts w:ascii="宋体" w:hAnsi="Courier New"/>
      <w:kern w:val="0"/>
      <w:sz w:val="20"/>
      <w:szCs w:val="20"/>
    </w:rPr>
  </w:style>
  <w:style w:type="paragraph" w:styleId="4">
    <w:name w:val="Date"/>
    <w:basedOn w:val="1"/>
    <w:next w:val="1"/>
    <w:link w:val="18"/>
    <w:semiHidden/>
    <w:unhideWhenUsed/>
    <w:qFormat/>
    <w:uiPriority w:val="99"/>
    <w:pPr>
      <w:ind w:left="100" w:leftChars="2500"/>
    </w:pPr>
  </w:style>
  <w:style w:type="paragraph" w:styleId="5">
    <w:name w:val="Body Text Indent 2"/>
    <w:basedOn w:val="1"/>
    <w:link w:val="28"/>
    <w:qFormat/>
    <w:uiPriority w:val="0"/>
    <w:pPr>
      <w:spacing w:beforeLines="50" w:line="560" w:lineRule="exact"/>
      <w:ind w:firstLine="560" w:firstLineChars="200"/>
    </w:pPr>
    <w:rPr>
      <w:rFonts w:ascii="宋体" w:hAnsi="宋体" w:eastAsia="宋体" w:cs="Times New Roman"/>
      <w:sz w:val="28"/>
      <w:szCs w:val="28"/>
    </w:rPr>
  </w:style>
  <w:style w:type="paragraph" w:styleId="6">
    <w:name w:val="Balloon Text"/>
    <w:basedOn w:val="1"/>
    <w:link w:val="17"/>
    <w:semiHidden/>
    <w:unhideWhenUsed/>
    <w:qFormat/>
    <w:uiPriority w:val="99"/>
    <w:rPr>
      <w:sz w:val="18"/>
      <w:szCs w:val="18"/>
    </w:r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unhideWhenUsed/>
    <w:qFormat/>
    <w:uiPriority w:val="0"/>
    <w:rPr>
      <w:color w:val="0000FF"/>
      <w:u w:val="single"/>
    </w:rPr>
  </w:style>
  <w:style w:type="character" w:customStyle="1" w:styleId="15">
    <w:name w:val="页眉 Char"/>
    <w:basedOn w:val="12"/>
    <w:link w:val="8"/>
    <w:qFormat/>
    <w:uiPriority w:val="99"/>
    <w:rPr>
      <w:sz w:val="18"/>
      <w:szCs w:val="18"/>
    </w:rPr>
  </w:style>
  <w:style w:type="character" w:customStyle="1" w:styleId="16">
    <w:name w:val="页脚 Char"/>
    <w:basedOn w:val="12"/>
    <w:link w:val="7"/>
    <w:qFormat/>
    <w:uiPriority w:val="99"/>
    <w:rPr>
      <w:sz w:val="18"/>
      <w:szCs w:val="18"/>
    </w:rPr>
  </w:style>
  <w:style w:type="character" w:customStyle="1" w:styleId="17">
    <w:name w:val="批注框文本 Char"/>
    <w:basedOn w:val="12"/>
    <w:link w:val="6"/>
    <w:semiHidden/>
    <w:qFormat/>
    <w:uiPriority w:val="99"/>
    <w:rPr>
      <w:sz w:val="18"/>
      <w:szCs w:val="18"/>
    </w:rPr>
  </w:style>
  <w:style w:type="character" w:customStyle="1" w:styleId="18">
    <w:name w:val="日期 Char"/>
    <w:basedOn w:val="12"/>
    <w:link w:val="4"/>
    <w:semiHidden/>
    <w:qFormat/>
    <w:uiPriority w:val="99"/>
  </w:style>
  <w:style w:type="paragraph" w:styleId="19">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20">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21">
    <w:name w:val="Char1"/>
    <w:basedOn w:val="2"/>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22">
    <w:name w:val="文档结构图 Char"/>
    <w:basedOn w:val="12"/>
    <w:link w:val="2"/>
    <w:semiHidden/>
    <w:qFormat/>
    <w:uiPriority w:val="99"/>
    <w:rPr>
      <w:rFonts w:ascii="宋体" w:eastAsia="宋体"/>
      <w:sz w:val="18"/>
      <w:szCs w:val="18"/>
    </w:rPr>
  </w:style>
  <w:style w:type="paragraph" w:customStyle="1" w:styleId="23">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4">
    <w:name w:val="Subtle Emphasis"/>
    <w:qFormat/>
    <w:uiPriority w:val="19"/>
    <w:rPr>
      <w:i/>
      <w:iCs/>
      <w:color w:val="808080"/>
    </w:rPr>
  </w:style>
  <w:style w:type="paragraph" w:customStyle="1" w:styleId="25">
    <w:name w:val="正文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26">
    <w:name w:val="正文文本缩进 New"/>
    <w:basedOn w:val="25"/>
    <w:qFormat/>
    <w:uiPriority w:val="0"/>
    <w:pPr>
      <w:ind w:firstLine="640" w:firstLineChars="200"/>
    </w:pPr>
    <w:rPr>
      <w:rFonts w:ascii="宋体"/>
      <w:sz w:val="32"/>
      <w:szCs w:val="32"/>
    </w:rPr>
  </w:style>
  <w:style w:type="paragraph" w:customStyle="1" w:styleId="27">
    <w:name w:val="Default"/>
    <w:qFormat/>
    <w:uiPriority w:val="0"/>
    <w:pPr>
      <w:widowControl w:val="0"/>
      <w:autoSpaceDE w:val="0"/>
      <w:autoSpaceDN w:val="0"/>
      <w:adjustRightInd w:val="0"/>
      <w:jc w:val="both"/>
    </w:pPr>
    <w:rPr>
      <w:rFonts w:ascii="仿宋_GB2312" w:hAnsi="Times New Roman" w:eastAsia="仿宋_GB2312" w:cs="仿宋_GB2312"/>
      <w:color w:val="000000"/>
      <w:kern w:val="0"/>
      <w:sz w:val="24"/>
      <w:szCs w:val="24"/>
      <w:lang w:val="en-US" w:eastAsia="zh-CN" w:bidi="ar-SA"/>
    </w:rPr>
  </w:style>
  <w:style w:type="character" w:customStyle="1" w:styleId="28">
    <w:name w:val="正文文本缩进 2 Char"/>
    <w:basedOn w:val="12"/>
    <w:link w:val="5"/>
    <w:qFormat/>
    <w:uiPriority w:val="0"/>
    <w:rPr>
      <w:rFonts w:ascii="宋体" w:hAnsi="宋体" w:eastAsia="宋体" w:cs="Times New Roman"/>
      <w:sz w:val="28"/>
      <w:szCs w:val="28"/>
    </w:rPr>
  </w:style>
  <w:style w:type="paragraph" w:styleId="2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4" textRotate="1"/>
    <customShpInfo spid="_x0000_s2055"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C494F-FCA3-4EFE-AE57-ACE6CED564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2622</Words>
  <Characters>2644</Characters>
  <Lines>10</Lines>
  <Paragraphs>2</Paragraphs>
  <TotalTime>17</TotalTime>
  <ScaleCrop>false</ScaleCrop>
  <LinksUpToDate>false</LinksUpToDate>
  <CharactersWithSpaces>2721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2018-12-25T04:29:00Z</dcterms:created>
  <dc:creator>Windows 用户</dc:creator>
  <cp:lastModifiedBy>曹德人</cp:lastModifiedBy>
  <cp:lastPrinted>2022-05-17T08:17:35Z</cp:lastPrinted>
  <dcterms:modified xsi:type="dcterms:W3CDTF">2022-05-17T08:20:13Z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3FAAE6DFF8E2479790242E2B2904F963</vt:lpwstr>
  </property>
</Properties>
</file>